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D2" w:rsidRPr="008707DB" w:rsidRDefault="004A35D2" w:rsidP="008707DB">
      <w:pPr>
        <w:jc w:val="center"/>
        <w:rPr>
          <w:b/>
          <w:sz w:val="28"/>
          <w:szCs w:val="28"/>
        </w:rPr>
      </w:pPr>
      <w:r w:rsidRPr="004A35D2">
        <w:rPr>
          <w:b/>
          <w:sz w:val="28"/>
          <w:szCs w:val="28"/>
        </w:rPr>
        <w:t>ANEXO II. INASISTENCIA A LAS CLASES. PROCEDIMIENTOS.</w:t>
      </w:r>
      <w:bookmarkStart w:id="0" w:name="_GoBack"/>
      <w:bookmarkEnd w:id="0"/>
    </w:p>
    <w:p w:rsidR="004A35D2" w:rsidRPr="008707DB" w:rsidRDefault="004A35D2" w:rsidP="004A35D2">
      <w:pPr>
        <w:rPr>
          <w:b/>
          <w:bCs/>
          <w:sz w:val="24"/>
          <w:szCs w:val="24"/>
        </w:rPr>
      </w:pPr>
      <w:bookmarkStart w:id="1" w:name="_Toc395214591"/>
      <w:r w:rsidRPr="008707DB">
        <w:rPr>
          <w:b/>
          <w:bCs/>
          <w:sz w:val="24"/>
          <w:szCs w:val="24"/>
        </w:rPr>
        <w:t xml:space="preserve">INASISTENCIA A LAS CLASES: ALUMNOS </w:t>
      </w:r>
      <w:bookmarkEnd w:id="1"/>
      <w:r w:rsidRPr="008707DB">
        <w:rPr>
          <w:b/>
          <w:bCs/>
          <w:sz w:val="24"/>
          <w:szCs w:val="24"/>
        </w:rPr>
        <w:t>ENSEÑANZAS OBLIGATORIAS (FPBÁSICA)</w:t>
      </w:r>
    </w:p>
    <w:p w:rsidR="004A35D2" w:rsidRPr="008707DB" w:rsidRDefault="004A35D2" w:rsidP="004A35D2">
      <w:pPr>
        <w:rPr>
          <w:bCs/>
          <w:sz w:val="24"/>
          <w:szCs w:val="24"/>
          <w:lang w:val="es-ES_tradnl"/>
        </w:rPr>
      </w:pPr>
      <w:r w:rsidRPr="008707DB">
        <w:rPr>
          <w:bCs/>
          <w:sz w:val="24"/>
          <w:szCs w:val="24"/>
          <w:lang w:val="es-ES_tradnl"/>
        </w:rPr>
        <w:t>La inasistencia injustif</w:t>
      </w:r>
      <w:r w:rsidR="00D06179">
        <w:rPr>
          <w:bCs/>
          <w:sz w:val="24"/>
          <w:szCs w:val="24"/>
          <w:lang w:val="es-ES_tradnl"/>
        </w:rPr>
        <w:t>icada a las clases se considera</w:t>
      </w:r>
      <w:r w:rsidRPr="008707DB">
        <w:rPr>
          <w:bCs/>
          <w:sz w:val="24"/>
          <w:szCs w:val="24"/>
          <w:lang w:val="es-ES_tradnl"/>
        </w:rPr>
        <w:t xml:space="preserve"> falta leve. Será considerada falta grave la falsificación de justificantes.</w:t>
      </w:r>
    </w:p>
    <w:p w:rsidR="004A35D2" w:rsidRPr="008707DB" w:rsidRDefault="004A35D2" w:rsidP="004A35D2">
      <w:pPr>
        <w:rPr>
          <w:bCs/>
          <w:sz w:val="24"/>
          <w:szCs w:val="24"/>
          <w:lang w:val="es-ES_tradnl"/>
        </w:rPr>
      </w:pPr>
      <w:r w:rsidRPr="008707DB">
        <w:rPr>
          <w:bCs/>
          <w:sz w:val="24"/>
          <w:szCs w:val="24"/>
          <w:lang w:val="es-ES_tradnl"/>
        </w:rPr>
        <w:t xml:space="preserve">Cuando la inasistencia se produzca en toda una jornada escolar y posteriormente no se justifique dicha ausencia el tutor lo comunicará a la familia. </w:t>
      </w:r>
    </w:p>
    <w:p w:rsidR="007A3BA5" w:rsidRPr="008707DB" w:rsidRDefault="007A3BA5" w:rsidP="007A3BA5">
      <w:pPr>
        <w:rPr>
          <w:bCs/>
          <w:sz w:val="24"/>
          <w:szCs w:val="24"/>
          <w:lang w:val="es-ES_tradnl"/>
        </w:rPr>
      </w:pPr>
      <w:r w:rsidRPr="008707DB">
        <w:rPr>
          <w:bCs/>
          <w:sz w:val="24"/>
          <w:szCs w:val="24"/>
          <w:lang w:val="es-ES_tradnl"/>
        </w:rPr>
        <w:t>Control de la asistencia: el profesorado llevará un registro diario de asistencia al aula, en caso de alumnos menores se comunicará a la familia  las faltas de asistencia injustific</w:t>
      </w:r>
      <w:r w:rsidR="00D06179">
        <w:rPr>
          <w:bCs/>
          <w:sz w:val="24"/>
          <w:szCs w:val="24"/>
          <w:lang w:val="es-ES_tradnl"/>
        </w:rPr>
        <w:t>adas como mínimo semanalmente.</w:t>
      </w:r>
    </w:p>
    <w:p w:rsidR="007A3BA5" w:rsidRPr="008707DB" w:rsidRDefault="007A3BA5" w:rsidP="007A3BA5">
      <w:pPr>
        <w:rPr>
          <w:bCs/>
          <w:sz w:val="24"/>
          <w:szCs w:val="24"/>
        </w:rPr>
      </w:pPr>
      <w:bookmarkStart w:id="2" w:name="_Toc388611788"/>
      <w:bookmarkStart w:id="3" w:name="_Toc395214576"/>
      <w:r w:rsidRPr="008707DB">
        <w:rPr>
          <w:bCs/>
          <w:sz w:val="24"/>
          <w:szCs w:val="24"/>
        </w:rPr>
        <w:t xml:space="preserve">Para alumnos menores de 16 años que tengan una ausencia prolongada, se debe poner en conocimiento de “Absentismo de la Junta Municipal de Chamberí”. El protocolo a seguir es primero organizar una tutoría con la familia  y en el caso que el alumno siga sin asistir a clase se </w:t>
      </w:r>
      <w:r w:rsidR="00D06179">
        <w:rPr>
          <w:bCs/>
          <w:sz w:val="24"/>
          <w:szCs w:val="24"/>
        </w:rPr>
        <w:t xml:space="preserve">comunicará </w:t>
      </w:r>
      <w:r w:rsidRPr="008707DB">
        <w:rPr>
          <w:bCs/>
          <w:sz w:val="24"/>
          <w:szCs w:val="24"/>
        </w:rPr>
        <w:t>a Absentismo.</w:t>
      </w:r>
      <w:bookmarkEnd w:id="2"/>
      <w:bookmarkEnd w:id="3"/>
      <w:r w:rsidRPr="008707DB">
        <w:rPr>
          <w:bCs/>
          <w:sz w:val="24"/>
          <w:szCs w:val="24"/>
        </w:rPr>
        <w:t xml:space="preserve"> </w:t>
      </w:r>
    </w:p>
    <w:p w:rsidR="004A35D2" w:rsidRPr="008707DB" w:rsidRDefault="004A35D2" w:rsidP="004A35D2">
      <w:pPr>
        <w:rPr>
          <w:b/>
          <w:bCs/>
          <w:sz w:val="24"/>
          <w:szCs w:val="24"/>
        </w:rPr>
      </w:pPr>
      <w:bookmarkStart w:id="4" w:name="_Toc395214592"/>
      <w:r w:rsidRPr="008707DB">
        <w:rPr>
          <w:b/>
          <w:bCs/>
          <w:sz w:val="24"/>
          <w:szCs w:val="24"/>
        </w:rPr>
        <w:t xml:space="preserve"> INASISTENCIA A LAS CLASES: </w:t>
      </w:r>
      <w:r w:rsidR="007A3BA5" w:rsidRPr="008707DB">
        <w:rPr>
          <w:b/>
          <w:bCs/>
          <w:sz w:val="24"/>
          <w:szCs w:val="24"/>
        </w:rPr>
        <w:t>ENSEÑANZAS NO OBLIGATORIAS (</w:t>
      </w:r>
      <w:r w:rsidRPr="008707DB">
        <w:rPr>
          <w:b/>
          <w:bCs/>
          <w:sz w:val="24"/>
          <w:szCs w:val="24"/>
        </w:rPr>
        <w:t>CICLOS FORMATIVOS</w:t>
      </w:r>
      <w:bookmarkEnd w:id="4"/>
      <w:r w:rsidR="007A3BA5" w:rsidRPr="008707DB">
        <w:rPr>
          <w:b/>
          <w:bCs/>
          <w:sz w:val="24"/>
          <w:szCs w:val="24"/>
        </w:rPr>
        <w:t>)</w:t>
      </w:r>
    </w:p>
    <w:p w:rsidR="004A35D2" w:rsidRPr="008707DB" w:rsidRDefault="004A35D2" w:rsidP="004A35D2">
      <w:pPr>
        <w:rPr>
          <w:rFonts w:cstheme="minorHAnsi"/>
          <w:b/>
          <w:sz w:val="24"/>
          <w:szCs w:val="24"/>
        </w:rPr>
      </w:pPr>
      <w:r w:rsidRPr="008707DB">
        <w:rPr>
          <w:rFonts w:cstheme="minorHAnsi"/>
          <w:b/>
          <w:sz w:val="24"/>
          <w:szCs w:val="24"/>
        </w:rPr>
        <w:t>1. Anulación de Matricula</w:t>
      </w:r>
    </w:p>
    <w:p w:rsidR="004A35D2" w:rsidRPr="008707DB" w:rsidRDefault="004A35D2" w:rsidP="004A35D2">
      <w:pPr>
        <w:rPr>
          <w:bCs/>
          <w:sz w:val="24"/>
          <w:szCs w:val="24"/>
          <w:lang w:val="es-ES_tradnl"/>
        </w:rPr>
      </w:pPr>
      <w:r w:rsidRPr="008707DB">
        <w:rPr>
          <w:bCs/>
          <w:sz w:val="24"/>
          <w:szCs w:val="24"/>
          <w:lang w:val="es-ES_tradnl"/>
        </w:rPr>
        <w:t>Será causa de baja de matrícula la inasistencia no justificada a las actividades de todos los módulos en que esté matriculado el alumno, si ésta se produce durante un período de quince días lectivos consecutivos.</w:t>
      </w:r>
      <w:r w:rsidR="007A3BA5" w:rsidRPr="008707DB">
        <w:rPr>
          <w:bCs/>
          <w:sz w:val="24"/>
          <w:szCs w:val="24"/>
          <w:lang w:val="es-ES_tradnl"/>
        </w:rPr>
        <w:t xml:space="preserve"> Asimismo será causa de baja la inasistencia a un porcentaje del 15% de todas las horas del curso. </w:t>
      </w:r>
    </w:p>
    <w:p w:rsidR="004A35D2" w:rsidRPr="008707DB" w:rsidRDefault="004A35D2" w:rsidP="004A35D2">
      <w:pPr>
        <w:rPr>
          <w:bCs/>
          <w:i/>
          <w:sz w:val="24"/>
          <w:szCs w:val="24"/>
          <w:lang w:val="es-ES_tradnl"/>
        </w:rPr>
      </w:pPr>
      <w:r w:rsidRPr="008707DB">
        <w:rPr>
          <w:bCs/>
          <w:sz w:val="24"/>
          <w:szCs w:val="24"/>
          <w:lang w:val="es-ES_tradnl"/>
        </w:rPr>
        <w:t>El procedimiento para la anulación de matrícula se realizará conforme indica la</w:t>
      </w:r>
      <w:r w:rsidRPr="008707DB">
        <w:rPr>
          <w:bCs/>
          <w:i/>
          <w:sz w:val="24"/>
          <w:szCs w:val="24"/>
          <w:lang w:val="es-ES_tradnl"/>
        </w:rPr>
        <w:t xml:space="preserve"> 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7A3BA5" w:rsidRPr="008707DB" w:rsidRDefault="004A35D2" w:rsidP="004A35D2">
      <w:pPr>
        <w:rPr>
          <w:bCs/>
          <w:sz w:val="24"/>
          <w:szCs w:val="24"/>
          <w:lang w:val="es-ES_tradnl"/>
        </w:rPr>
      </w:pPr>
      <w:r w:rsidRPr="008707DB">
        <w:rPr>
          <w:bCs/>
          <w:sz w:val="24"/>
          <w:szCs w:val="24"/>
          <w:lang w:val="es-ES_tradnl"/>
        </w:rPr>
        <w:t xml:space="preserve">A estos efectos se establece que la acumulación de faltas de asistencia injustificadas, sean individuales o colectivas, podrán acarrear la </w:t>
      </w:r>
      <w:r w:rsidRPr="008707DB">
        <w:rPr>
          <w:b/>
          <w:bCs/>
          <w:sz w:val="24"/>
          <w:szCs w:val="24"/>
          <w:lang w:val="es-ES_tradnl"/>
        </w:rPr>
        <w:t>pérdida del derecho a la evaluación continua.</w:t>
      </w:r>
    </w:p>
    <w:p w:rsidR="004A35D2" w:rsidRPr="008707DB" w:rsidRDefault="007A3BA5" w:rsidP="004A35D2">
      <w:pPr>
        <w:rPr>
          <w:b/>
          <w:bCs/>
          <w:sz w:val="24"/>
          <w:szCs w:val="24"/>
          <w:lang w:val="es-ES_tradnl"/>
        </w:rPr>
      </w:pPr>
      <w:r w:rsidRPr="008707DB">
        <w:rPr>
          <w:b/>
          <w:bCs/>
          <w:sz w:val="24"/>
          <w:szCs w:val="24"/>
          <w:lang w:val="es-ES_tradnl"/>
        </w:rPr>
        <w:t xml:space="preserve">2. </w:t>
      </w:r>
      <w:r w:rsidR="004A35D2" w:rsidRPr="008707DB">
        <w:rPr>
          <w:b/>
          <w:bCs/>
          <w:sz w:val="24"/>
          <w:szCs w:val="24"/>
          <w:lang w:val="es-ES_tradnl"/>
        </w:rPr>
        <w:t xml:space="preserve"> Procedimiento de Anulación Matricula</w:t>
      </w:r>
    </w:p>
    <w:p w:rsidR="004A35D2" w:rsidRPr="008707DB" w:rsidRDefault="004A35D2" w:rsidP="004A35D2">
      <w:pPr>
        <w:rPr>
          <w:bCs/>
          <w:sz w:val="24"/>
          <w:szCs w:val="24"/>
          <w:lang w:val="es-ES_tradnl"/>
        </w:rPr>
      </w:pPr>
      <w:r w:rsidRPr="008707DB">
        <w:rPr>
          <w:bCs/>
          <w:sz w:val="24"/>
          <w:szCs w:val="24"/>
          <w:lang w:val="es-ES_tradnl"/>
        </w:rPr>
        <w:t>1. El tutor del grupo se encargará</w:t>
      </w:r>
      <w:r w:rsidR="007A3BA5" w:rsidRPr="008707DB">
        <w:rPr>
          <w:bCs/>
          <w:sz w:val="24"/>
          <w:szCs w:val="24"/>
          <w:lang w:val="es-ES_tradnl"/>
        </w:rPr>
        <w:t xml:space="preserve"> de comunicar al alumno/a (o a su familia si es menor de edad</w:t>
      </w:r>
      <w:r w:rsidRPr="008707DB">
        <w:rPr>
          <w:bCs/>
          <w:sz w:val="24"/>
          <w:szCs w:val="24"/>
          <w:lang w:val="es-ES_tradnl"/>
        </w:rPr>
        <w:t xml:space="preserve">) cuando supere el 10% de las horas de formación o en el caso de ausencia </w:t>
      </w:r>
      <w:r w:rsidRPr="008707DB">
        <w:rPr>
          <w:bCs/>
          <w:sz w:val="24"/>
          <w:szCs w:val="24"/>
          <w:lang w:val="es-ES_tradnl"/>
        </w:rPr>
        <w:lastRenderedPageBreak/>
        <w:t xml:space="preserve">continuada. Para tener en cuenta este dato se basará en la hoja de faltas que </w:t>
      </w:r>
      <w:r w:rsidR="007A3BA5" w:rsidRPr="008707DB">
        <w:rPr>
          <w:bCs/>
          <w:sz w:val="24"/>
          <w:szCs w:val="24"/>
          <w:lang w:val="es-ES_tradnl"/>
        </w:rPr>
        <w:t>el profesorado rellena</w:t>
      </w:r>
      <w:r w:rsidRPr="008707DB">
        <w:rPr>
          <w:bCs/>
          <w:sz w:val="24"/>
          <w:szCs w:val="24"/>
          <w:lang w:val="es-ES_tradnl"/>
        </w:rPr>
        <w:t xml:space="preserve"> diariamente.</w:t>
      </w:r>
    </w:p>
    <w:p w:rsidR="004A35D2" w:rsidRPr="008707DB" w:rsidRDefault="004A35D2" w:rsidP="004A35D2">
      <w:pPr>
        <w:rPr>
          <w:bCs/>
          <w:sz w:val="24"/>
          <w:szCs w:val="24"/>
          <w:lang w:val="es-ES_tradnl"/>
        </w:rPr>
      </w:pPr>
      <w:r w:rsidRPr="008707DB">
        <w:rPr>
          <w:bCs/>
          <w:sz w:val="24"/>
          <w:szCs w:val="24"/>
          <w:lang w:val="es-ES_tradnl"/>
        </w:rPr>
        <w:t>2. Si después de las comunicaciones realizadas por el tutor, el alumno continúa con su inasistencia superando el límite del 15% de faltas o los quince días de inasistencia continuada, el tutor lo comunicará a Jefatura de Estudios.</w:t>
      </w:r>
    </w:p>
    <w:p w:rsidR="00D06179" w:rsidRDefault="004A35D2" w:rsidP="004A35D2">
      <w:pPr>
        <w:rPr>
          <w:bCs/>
          <w:sz w:val="24"/>
          <w:szCs w:val="24"/>
          <w:lang w:val="es-ES_tradnl"/>
        </w:rPr>
      </w:pPr>
      <w:r w:rsidRPr="008707DB">
        <w:rPr>
          <w:bCs/>
          <w:sz w:val="24"/>
          <w:szCs w:val="24"/>
          <w:lang w:val="es-ES_tradnl"/>
        </w:rPr>
        <w:t>3. Desde Jefatura de Estudios se enviará una carta certificada al alumno con acuse de recibo</w:t>
      </w:r>
    </w:p>
    <w:p w:rsidR="004A35D2" w:rsidRPr="008707DB" w:rsidRDefault="004A35D2" w:rsidP="004A35D2">
      <w:pPr>
        <w:rPr>
          <w:bCs/>
          <w:sz w:val="24"/>
          <w:szCs w:val="24"/>
          <w:lang w:val="es-ES_tradnl"/>
        </w:rPr>
      </w:pPr>
      <w:r w:rsidRPr="008707DB">
        <w:rPr>
          <w:bCs/>
          <w:sz w:val="24"/>
          <w:szCs w:val="24"/>
          <w:lang w:val="es-ES_tradnl"/>
        </w:rPr>
        <w:t xml:space="preserve">4. Si en el transcurso de 10 días naturales no se reciben alegaciones por parte del alumno, Jefatura procederá a dar de baja </w:t>
      </w:r>
      <w:r w:rsidR="00D06179">
        <w:rPr>
          <w:bCs/>
          <w:sz w:val="24"/>
          <w:szCs w:val="24"/>
          <w:lang w:val="es-ES_tradnl"/>
        </w:rPr>
        <w:t>al alumno/a</w:t>
      </w:r>
    </w:p>
    <w:p w:rsidR="004A35D2" w:rsidRPr="008707DB" w:rsidRDefault="004A35D2" w:rsidP="004A35D2">
      <w:pPr>
        <w:rPr>
          <w:b/>
          <w:bCs/>
          <w:sz w:val="24"/>
          <w:szCs w:val="24"/>
          <w:lang w:val="es-ES_tradnl"/>
        </w:rPr>
      </w:pPr>
      <w:r w:rsidRPr="008707DB">
        <w:rPr>
          <w:b/>
          <w:bCs/>
          <w:sz w:val="24"/>
          <w:szCs w:val="24"/>
          <w:lang w:val="es-ES_tradnl"/>
        </w:rPr>
        <w:t xml:space="preserve">3. Pérdida de la evaluación </w:t>
      </w:r>
      <w:proofErr w:type="gramStart"/>
      <w:r w:rsidRPr="008707DB">
        <w:rPr>
          <w:b/>
          <w:bCs/>
          <w:sz w:val="24"/>
          <w:szCs w:val="24"/>
          <w:lang w:val="es-ES_tradnl"/>
        </w:rPr>
        <w:t>continua</w:t>
      </w:r>
      <w:proofErr w:type="gramEnd"/>
      <w:r w:rsidRPr="008707DB">
        <w:rPr>
          <w:b/>
          <w:bCs/>
          <w:sz w:val="24"/>
          <w:szCs w:val="24"/>
          <w:lang w:val="es-ES_tradnl"/>
        </w:rPr>
        <w:t>.</w:t>
      </w:r>
    </w:p>
    <w:p w:rsidR="004A35D2" w:rsidRPr="008707DB" w:rsidRDefault="004A35D2" w:rsidP="004A35D2">
      <w:pPr>
        <w:rPr>
          <w:bCs/>
          <w:sz w:val="24"/>
          <w:szCs w:val="24"/>
          <w:lang w:val="es-ES_tradnl"/>
        </w:rPr>
      </w:pPr>
      <w:r w:rsidRPr="008707DB">
        <w:rPr>
          <w:bCs/>
          <w:sz w:val="24"/>
          <w:szCs w:val="24"/>
          <w:lang w:val="es-ES_tradnl"/>
        </w:rPr>
        <w:t>El sistema de evaluación continua establecido en la modalidad presencial de los Ciclos Formativos requiere la asistencia regular del alumnado a las clases y a todas las actividades programadas para cada módulo profesional. La acumulación de  faltas de asistencia puede dar lugar a la imposibilidad de aplicar el proceso de evolución continua.</w:t>
      </w:r>
    </w:p>
    <w:p w:rsidR="004A35D2" w:rsidRPr="008707DB" w:rsidRDefault="004A35D2" w:rsidP="004A35D2">
      <w:pPr>
        <w:rPr>
          <w:bCs/>
          <w:sz w:val="24"/>
          <w:szCs w:val="24"/>
          <w:lang w:val="es-ES_tradnl"/>
        </w:rPr>
      </w:pPr>
      <w:r w:rsidRPr="008707DB">
        <w:rPr>
          <w:bCs/>
          <w:sz w:val="24"/>
          <w:szCs w:val="24"/>
          <w:lang w:val="es-ES_tradnl"/>
        </w:rPr>
        <w:t>En el caso de pérdida de evaluación continua, el alumno tendrá derecho a un sistema extraordinario de evaluación final, según establecen el artículo 44.2 del R.D. 732/1995 del «BOE» de 2 de junio del mismo año y el artículo 13 del Decreto 136/2002 de la Consejería de Educación de Madrid («BOCM» de 8 de agosto del mismo año).</w:t>
      </w:r>
    </w:p>
    <w:p w:rsidR="004A35D2" w:rsidRPr="008707DB" w:rsidRDefault="004A35D2" w:rsidP="004A35D2">
      <w:pPr>
        <w:rPr>
          <w:bCs/>
          <w:sz w:val="24"/>
          <w:szCs w:val="24"/>
          <w:lang w:val="es-ES_tradnl"/>
        </w:rPr>
      </w:pPr>
      <w:r w:rsidRPr="008707DB">
        <w:rPr>
          <w:bCs/>
          <w:sz w:val="24"/>
          <w:szCs w:val="24"/>
          <w:lang w:val="es-ES_tradnl"/>
        </w:rPr>
        <w:t>El abandono en una materia, durante el curso, debe ser notificado al alumno o a sus padres si es menor de edad mediante una primera amonestación. Si la conducta del alumno persiste, se realizará la notificación definitiva de la perdida de evaluación continua. Las notificaciones serán efectuadas por el Profesor</w:t>
      </w:r>
      <w:r w:rsidR="00D06179">
        <w:rPr>
          <w:bCs/>
          <w:sz w:val="24"/>
          <w:szCs w:val="24"/>
          <w:lang w:val="es-ES_tradnl"/>
        </w:rPr>
        <w:t>/a</w:t>
      </w:r>
      <w:r w:rsidRPr="008707DB">
        <w:rPr>
          <w:bCs/>
          <w:sz w:val="24"/>
          <w:szCs w:val="24"/>
          <w:lang w:val="es-ES_tradnl"/>
        </w:rPr>
        <w:t xml:space="preserve"> de la asignatura, que informará al Tutor</w:t>
      </w:r>
      <w:r w:rsidR="00D06179">
        <w:rPr>
          <w:bCs/>
          <w:sz w:val="24"/>
          <w:szCs w:val="24"/>
          <w:lang w:val="es-ES_tradnl"/>
        </w:rPr>
        <w:t>/a</w:t>
      </w:r>
      <w:r w:rsidRPr="008707DB">
        <w:rPr>
          <w:bCs/>
          <w:sz w:val="24"/>
          <w:szCs w:val="24"/>
          <w:lang w:val="es-ES_tradnl"/>
        </w:rPr>
        <w:t xml:space="preserve">. De estas notificaciones debe quedar constancia en la Jefatura de Estudios. </w:t>
      </w:r>
    </w:p>
    <w:p w:rsidR="004A35D2" w:rsidRPr="008707DB" w:rsidRDefault="004A35D2" w:rsidP="004A35D2">
      <w:pPr>
        <w:rPr>
          <w:bCs/>
          <w:sz w:val="24"/>
          <w:szCs w:val="24"/>
          <w:lang w:val="es-ES_tradnl"/>
        </w:rPr>
      </w:pPr>
      <w:r w:rsidRPr="008707DB">
        <w:rPr>
          <w:bCs/>
          <w:sz w:val="24"/>
          <w:szCs w:val="24"/>
          <w:lang w:val="es-ES_tradnl"/>
        </w:rPr>
        <w:t>Se considerará que han abandonado la materia los alumnos que no se presenten a la primera evaluación ni a la correspondiente recuperación (si la hubiere). En este caso sólo podrán present</w:t>
      </w:r>
      <w:r w:rsidR="00D06179">
        <w:rPr>
          <w:bCs/>
          <w:sz w:val="24"/>
          <w:szCs w:val="24"/>
          <w:lang w:val="es-ES_tradnl"/>
        </w:rPr>
        <w:t xml:space="preserve">arse al examen global en junio. </w:t>
      </w:r>
      <w:r w:rsidRPr="008707DB">
        <w:rPr>
          <w:bCs/>
          <w:sz w:val="24"/>
          <w:szCs w:val="24"/>
          <w:lang w:val="es-ES_tradnl"/>
        </w:rPr>
        <w:t>Los alumnos que hayan perdido el derecho a evaluación continua y aquellos que no hayan superado la materia durante el curso, realizarán una prueba global homogénea establecida por el profesor correspondiente, en la convocatoria de junio.</w:t>
      </w:r>
    </w:p>
    <w:p w:rsidR="004A35D2" w:rsidRPr="008707DB" w:rsidRDefault="004A35D2" w:rsidP="004A35D2">
      <w:pPr>
        <w:rPr>
          <w:bCs/>
          <w:sz w:val="24"/>
          <w:szCs w:val="24"/>
          <w:lang w:val="es-ES_tradnl"/>
        </w:rPr>
      </w:pPr>
      <w:r w:rsidRPr="008707DB">
        <w:rPr>
          <w:bCs/>
          <w:sz w:val="24"/>
          <w:szCs w:val="24"/>
          <w:lang w:val="es-ES_tradnl"/>
        </w:rPr>
        <w:t xml:space="preserve">El alumno/a que pierda la evaluación continua irá a la convocatoria de junio con toda la materia y deberá así mismo presentar todos los trabajos que sus compañeros hayan presentado a lo largo del curso. </w:t>
      </w:r>
    </w:p>
    <w:p w:rsidR="004A35D2" w:rsidRPr="008707DB" w:rsidRDefault="004A35D2" w:rsidP="004A35D2">
      <w:pPr>
        <w:rPr>
          <w:bCs/>
          <w:sz w:val="24"/>
          <w:szCs w:val="24"/>
          <w:lang w:val="es-ES_tradnl"/>
        </w:rPr>
      </w:pPr>
      <w:r w:rsidRPr="008707DB">
        <w:rPr>
          <w:bCs/>
          <w:sz w:val="24"/>
          <w:szCs w:val="24"/>
          <w:lang w:val="es-ES_tradnl"/>
        </w:rPr>
        <w:lastRenderedPageBreak/>
        <w:t>En aquellas materias en las que se requiera un número determinado de trabajos prácticos en el taller el alumno/a realizará una prueba de nivel que incluya una muestra de al menos cada uno de los trabajos realizados a lo largo del año en el taller, en el tiempo que estime el profesor.</w:t>
      </w:r>
    </w:p>
    <w:p w:rsidR="004A35D2" w:rsidRPr="008707DB" w:rsidRDefault="004A35D2" w:rsidP="004A35D2">
      <w:pPr>
        <w:rPr>
          <w:bCs/>
          <w:sz w:val="24"/>
          <w:szCs w:val="24"/>
          <w:lang w:val="es-ES_tradnl"/>
        </w:rPr>
      </w:pPr>
      <w:r w:rsidRPr="008707DB">
        <w:rPr>
          <w:b/>
          <w:bCs/>
          <w:sz w:val="24"/>
          <w:szCs w:val="24"/>
          <w:lang w:val="es-ES_tradnl"/>
        </w:rPr>
        <w:t>4. Porcentaje de absentismo para la pérdida de evaluación continua o de anulación de matrícula</w:t>
      </w:r>
      <w:r w:rsidRPr="008707DB">
        <w:rPr>
          <w:bCs/>
          <w:sz w:val="24"/>
          <w:szCs w:val="24"/>
          <w:lang w:val="es-ES_tradnl"/>
        </w:rPr>
        <w:t>.</w:t>
      </w:r>
    </w:p>
    <w:p w:rsidR="004A35D2" w:rsidRPr="008707DB" w:rsidRDefault="004A35D2" w:rsidP="004A35D2">
      <w:pPr>
        <w:rPr>
          <w:bCs/>
          <w:sz w:val="24"/>
          <w:szCs w:val="24"/>
          <w:lang w:val="es-ES_tradnl"/>
        </w:rPr>
      </w:pPr>
      <w:r w:rsidRPr="008707DB">
        <w:rPr>
          <w:bCs/>
          <w:sz w:val="24"/>
          <w:szCs w:val="24"/>
          <w:lang w:val="es-ES_tradnl"/>
        </w:rPr>
        <w:t>El porcentaje de absentismo para la pérdida de evaluación continua o de anulación de matrícula, se establecerá de acuerdo al siguiente baremo:</w:t>
      </w:r>
    </w:p>
    <w:p w:rsidR="004A35D2" w:rsidRPr="008707DB" w:rsidRDefault="004A35D2" w:rsidP="004A35D2">
      <w:pPr>
        <w:rPr>
          <w:bCs/>
          <w:sz w:val="24"/>
          <w:szCs w:val="24"/>
          <w:lang w:val="es-ES_tradnl"/>
        </w:rPr>
      </w:pPr>
      <w:r w:rsidRPr="008707DB">
        <w:rPr>
          <w:bCs/>
          <w:sz w:val="24"/>
          <w:szCs w:val="24"/>
          <w:lang w:val="es-ES_tradnl"/>
        </w:rPr>
        <w:t>15 días consecutivos de faltas sin justificar se puede proceder a la anulación de matrícula y superado el 15 % de absentismo también se procederá a la anulación de matrícula</w:t>
      </w:r>
    </w:p>
    <w:tbl>
      <w:tblPr>
        <w:tblW w:w="8462" w:type="dxa"/>
        <w:tblInd w:w="55" w:type="dxa"/>
        <w:tblCellMar>
          <w:left w:w="28" w:type="dxa"/>
          <w:right w:w="28" w:type="dxa"/>
        </w:tblCellMar>
        <w:tblLook w:val="04A0" w:firstRow="1" w:lastRow="0" w:firstColumn="1" w:lastColumn="0" w:noHBand="0" w:noVBand="1"/>
      </w:tblPr>
      <w:tblGrid>
        <w:gridCol w:w="2808"/>
        <w:gridCol w:w="1985"/>
        <w:gridCol w:w="992"/>
        <w:gridCol w:w="992"/>
        <w:gridCol w:w="709"/>
        <w:gridCol w:w="976"/>
      </w:tblGrid>
      <w:tr w:rsidR="004A35D2" w:rsidRPr="008707DB" w:rsidTr="006671D5">
        <w:trPr>
          <w:trHeight w:val="57"/>
        </w:trPr>
        <w:tc>
          <w:tcPr>
            <w:tcW w:w="8462" w:type="dxa"/>
            <w:gridSpan w:val="6"/>
            <w:tcBorders>
              <w:top w:val="single" w:sz="4" w:space="0" w:color="auto"/>
              <w:left w:val="single" w:sz="4" w:space="0" w:color="auto"/>
              <w:bottom w:val="nil"/>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 xml:space="preserve">COMUNICACIÓN DE FALTAS DE ASISTENCIA A CLASE (faltas no justificadas) </w:t>
            </w:r>
          </w:p>
        </w:tc>
      </w:tr>
      <w:tr w:rsidR="004A35D2" w:rsidRPr="008707DB" w:rsidTr="006671D5">
        <w:trPr>
          <w:trHeight w:val="57"/>
        </w:trPr>
        <w:tc>
          <w:tcPr>
            <w:tcW w:w="8462" w:type="dxa"/>
            <w:gridSpan w:val="6"/>
            <w:tcBorders>
              <w:top w:val="nil"/>
              <w:left w:val="single" w:sz="4" w:space="0" w:color="auto"/>
              <w:bottom w:val="single" w:sz="4" w:space="0" w:color="auto"/>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DEL ALUMNADO DE CICLOS FORMATIVOS PERDIDA DE EVALUACIÓN CONTINUA</w:t>
            </w:r>
          </w:p>
        </w:tc>
      </w:tr>
      <w:tr w:rsidR="004A35D2" w:rsidRPr="008707DB" w:rsidTr="008707DB">
        <w:trPr>
          <w:trHeight w:val="57"/>
        </w:trPr>
        <w:tc>
          <w:tcPr>
            <w:tcW w:w="2808" w:type="dxa"/>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lang w:val="es-ES_tradnl"/>
              </w:rPr>
            </w:pPr>
            <w:r w:rsidRPr="008707DB">
              <w:rPr>
                <w:bCs/>
                <w:sz w:val="24"/>
                <w:szCs w:val="24"/>
                <w:lang w:val="es-ES_tradnl"/>
              </w:rPr>
              <w:t>Horas Anuales/Semanales</w:t>
            </w:r>
          </w:p>
        </w:tc>
        <w:tc>
          <w:tcPr>
            <w:tcW w:w="1985" w:type="dxa"/>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270/8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240/7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200/6</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90/3</w:t>
            </w:r>
          </w:p>
        </w:tc>
      </w:tr>
      <w:tr w:rsidR="004A35D2" w:rsidRPr="008707DB" w:rsidTr="008707DB">
        <w:trPr>
          <w:trHeight w:val="57"/>
        </w:trPr>
        <w:tc>
          <w:tcPr>
            <w:tcW w:w="2808" w:type="dxa"/>
            <w:vMerge w:val="restart"/>
            <w:tcBorders>
              <w:top w:val="nil"/>
              <w:left w:val="single" w:sz="4"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1º Apercibimiento</w:t>
            </w:r>
          </w:p>
        </w:tc>
        <w:tc>
          <w:tcPr>
            <w:tcW w:w="1985"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Absentismo</w:t>
            </w:r>
            <w:r w:rsidR="008707DB" w:rsidRPr="008707DB">
              <w:rPr>
                <w:bCs/>
                <w:sz w:val="24"/>
                <w:szCs w:val="24"/>
                <w:lang w:val="es-ES_tradnl"/>
              </w:rPr>
              <w:t xml:space="preserve"> 5%</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14</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12</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1</w:t>
            </w:r>
          </w:p>
        </w:tc>
        <w:tc>
          <w:tcPr>
            <w:tcW w:w="976" w:type="dxa"/>
            <w:vMerge w:val="restart"/>
            <w:tcBorders>
              <w:top w:val="nil"/>
              <w:left w:val="single" w:sz="8" w:space="0" w:color="auto"/>
              <w:bottom w:val="single" w:sz="8" w:space="0" w:color="000000"/>
              <w:right w:val="single" w:sz="4" w:space="0" w:color="auto"/>
            </w:tcBorders>
            <w:shd w:val="clear" w:color="auto" w:fill="auto"/>
            <w:hideMark/>
          </w:tcPr>
          <w:p w:rsidR="004A35D2" w:rsidRPr="008707DB" w:rsidRDefault="004A35D2" w:rsidP="004A35D2">
            <w:pPr>
              <w:rPr>
                <w:bCs/>
                <w:sz w:val="24"/>
                <w:szCs w:val="24"/>
                <w:lang w:val="es-ES_tradnl"/>
              </w:rPr>
            </w:pPr>
          </w:p>
        </w:tc>
      </w:tr>
      <w:tr w:rsidR="004A35D2" w:rsidRPr="008707DB" w:rsidTr="008707DB">
        <w:trPr>
          <w:trHeight w:val="57"/>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1985"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709"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76"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lang w:val="es-ES_tradnl"/>
              </w:rPr>
            </w:pPr>
          </w:p>
        </w:tc>
      </w:tr>
      <w:tr w:rsidR="004A35D2" w:rsidRPr="008707DB" w:rsidTr="008707DB">
        <w:trPr>
          <w:trHeight w:val="80"/>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1985" w:type="dxa"/>
            <w:tcBorders>
              <w:top w:val="nil"/>
              <w:left w:val="nil"/>
              <w:bottom w:val="single" w:sz="8" w:space="0" w:color="auto"/>
              <w:right w:val="single" w:sz="8" w:space="0" w:color="auto"/>
            </w:tcBorders>
            <w:shd w:val="clear" w:color="auto" w:fill="auto"/>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709"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76"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lang w:val="es-ES_tradnl"/>
              </w:rPr>
            </w:pPr>
          </w:p>
        </w:tc>
      </w:tr>
      <w:tr w:rsidR="004A35D2" w:rsidRPr="008707DB" w:rsidTr="008707DB">
        <w:trPr>
          <w:trHeight w:val="57"/>
        </w:trPr>
        <w:tc>
          <w:tcPr>
            <w:tcW w:w="2808" w:type="dxa"/>
            <w:vMerge w:val="restart"/>
            <w:tcBorders>
              <w:top w:val="nil"/>
              <w:left w:val="single" w:sz="4"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2º Apercibimiento</w:t>
            </w:r>
          </w:p>
        </w:tc>
        <w:tc>
          <w:tcPr>
            <w:tcW w:w="1985"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Absentismo</w:t>
            </w:r>
            <w:r w:rsidR="008707DB" w:rsidRPr="008707DB">
              <w:rPr>
                <w:bCs/>
                <w:sz w:val="24"/>
                <w:szCs w:val="24"/>
                <w:lang w:val="es-ES_tradnl"/>
              </w:rPr>
              <w:t xml:space="preserve"> 10%</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27</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24</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20</w:t>
            </w:r>
          </w:p>
        </w:tc>
        <w:tc>
          <w:tcPr>
            <w:tcW w:w="976" w:type="dxa"/>
            <w:vMerge w:val="restart"/>
            <w:tcBorders>
              <w:top w:val="nil"/>
              <w:left w:val="single" w:sz="8" w:space="0" w:color="auto"/>
              <w:bottom w:val="single" w:sz="8" w:space="0" w:color="000000"/>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9</w:t>
            </w:r>
          </w:p>
        </w:tc>
      </w:tr>
      <w:tr w:rsidR="004A35D2" w:rsidRPr="008707DB" w:rsidTr="008707DB">
        <w:trPr>
          <w:trHeight w:val="57"/>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1985"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709"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76"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lang w:val="es-ES_tradnl"/>
              </w:rPr>
            </w:pPr>
          </w:p>
        </w:tc>
      </w:tr>
      <w:tr w:rsidR="004A35D2" w:rsidRPr="008707DB" w:rsidTr="008707DB">
        <w:trPr>
          <w:trHeight w:val="57"/>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1985" w:type="dxa"/>
            <w:tcBorders>
              <w:top w:val="nil"/>
              <w:left w:val="nil"/>
              <w:bottom w:val="single" w:sz="8" w:space="0" w:color="auto"/>
              <w:right w:val="single" w:sz="8" w:space="0" w:color="auto"/>
            </w:tcBorders>
            <w:shd w:val="clear" w:color="auto" w:fill="auto"/>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709"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lang w:val="es-ES_tradnl"/>
              </w:rPr>
            </w:pPr>
          </w:p>
        </w:tc>
        <w:tc>
          <w:tcPr>
            <w:tcW w:w="976"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lang w:val="es-ES_tradnl"/>
              </w:rPr>
            </w:pPr>
          </w:p>
        </w:tc>
      </w:tr>
      <w:tr w:rsidR="004A35D2" w:rsidRPr="008707DB" w:rsidTr="008707DB">
        <w:trPr>
          <w:trHeight w:val="57"/>
        </w:trPr>
        <w:tc>
          <w:tcPr>
            <w:tcW w:w="2808" w:type="dxa"/>
            <w:vMerge w:val="restart"/>
            <w:tcBorders>
              <w:top w:val="nil"/>
              <w:left w:val="single" w:sz="4"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 xml:space="preserve">Perdida de la Evaluación Continua </w:t>
            </w:r>
          </w:p>
        </w:tc>
        <w:tc>
          <w:tcPr>
            <w:tcW w:w="1985"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Absentismo</w:t>
            </w:r>
            <w:r w:rsidR="008707DB" w:rsidRPr="008707DB">
              <w:rPr>
                <w:bCs/>
                <w:sz w:val="24"/>
                <w:szCs w:val="24"/>
                <w:lang w:val="es-ES_tradnl"/>
              </w:rPr>
              <w:t xml:space="preserve"> 15%</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41</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36</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30</w:t>
            </w:r>
          </w:p>
        </w:tc>
        <w:tc>
          <w:tcPr>
            <w:tcW w:w="976" w:type="dxa"/>
            <w:vMerge w:val="restart"/>
            <w:tcBorders>
              <w:top w:val="nil"/>
              <w:left w:val="single" w:sz="8" w:space="0" w:color="auto"/>
              <w:bottom w:val="single" w:sz="8" w:space="0" w:color="000000"/>
              <w:right w:val="single" w:sz="4" w:space="0" w:color="auto"/>
            </w:tcBorders>
            <w:shd w:val="clear" w:color="auto" w:fill="auto"/>
            <w:hideMark/>
          </w:tcPr>
          <w:p w:rsidR="004A35D2" w:rsidRPr="008707DB" w:rsidRDefault="004A35D2" w:rsidP="004A35D2">
            <w:pPr>
              <w:rPr>
                <w:bCs/>
                <w:sz w:val="24"/>
                <w:szCs w:val="24"/>
                <w:lang w:val="es-ES_tradnl"/>
              </w:rPr>
            </w:pPr>
            <w:r w:rsidRPr="008707DB">
              <w:rPr>
                <w:bCs/>
                <w:sz w:val="24"/>
                <w:szCs w:val="24"/>
                <w:lang w:val="es-ES_tradnl"/>
              </w:rPr>
              <w:t>14</w:t>
            </w:r>
          </w:p>
        </w:tc>
      </w:tr>
      <w:tr w:rsidR="004A35D2" w:rsidRPr="008707DB" w:rsidTr="008707DB">
        <w:trPr>
          <w:trHeight w:val="57"/>
        </w:trPr>
        <w:tc>
          <w:tcPr>
            <w:tcW w:w="2808" w:type="dxa"/>
            <w:vMerge/>
            <w:tcBorders>
              <w:top w:val="nil"/>
              <w:left w:val="single" w:sz="4"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1985" w:type="dxa"/>
            <w:tcBorders>
              <w:top w:val="nil"/>
              <w:left w:val="nil"/>
              <w:bottom w:val="single" w:sz="4" w:space="0" w:color="auto"/>
              <w:right w:val="single" w:sz="8" w:space="0" w:color="auto"/>
            </w:tcBorders>
            <w:shd w:val="clear" w:color="auto" w:fill="auto"/>
            <w:hideMark/>
          </w:tcPr>
          <w:p w:rsidR="004A35D2" w:rsidRPr="008707DB" w:rsidRDefault="004A35D2" w:rsidP="004A35D2">
            <w:pPr>
              <w:rPr>
                <w:b/>
                <w:bCs/>
                <w:sz w:val="24"/>
                <w:szCs w:val="24"/>
              </w:rPr>
            </w:pPr>
          </w:p>
        </w:tc>
        <w:tc>
          <w:tcPr>
            <w:tcW w:w="992" w:type="dxa"/>
            <w:vMerge/>
            <w:tcBorders>
              <w:top w:val="nil"/>
              <w:left w:val="single" w:sz="8"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992" w:type="dxa"/>
            <w:vMerge/>
            <w:tcBorders>
              <w:top w:val="nil"/>
              <w:left w:val="single" w:sz="8"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709" w:type="dxa"/>
            <w:vMerge/>
            <w:tcBorders>
              <w:top w:val="nil"/>
              <w:left w:val="single" w:sz="8"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976" w:type="dxa"/>
            <w:vMerge/>
            <w:tcBorders>
              <w:top w:val="nil"/>
              <w:left w:val="single" w:sz="8" w:space="0" w:color="auto"/>
              <w:bottom w:val="single" w:sz="4" w:space="0" w:color="auto"/>
              <w:right w:val="single" w:sz="4" w:space="0" w:color="auto"/>
            </w:tcBorders>
            <w:hideMark/>
          </w:tcPr>
          <w:p w:rsidR="004A35D2" w:rsidRPr="008707DB" w:rsidRDefault="004A35D2" w:rsidP="004A35D2">
            <w:pPr>
              <w:rPr>
                <w:b/>
                <w:bCs/>
                <w:sz w:val="24"/>
                <w:szCs w:val="24"/>
              </w:rPr>
            </w:pPr>
          </w:p>
        </w:tc>
      </w:tr>
    </w:tbl>
    <w:p w:rsidR="004A35D2" w:rsidRPr="008707DB" w:rsidRDefault="004A35D2" w:rsidP="004A35D2">
      <w:pPr>
        <w:rPr>
          <w:sz w:val="24"/>
          <w:szCs w:val="24"/>
        </w:rPr>
      </w:pPr>
    </w:p>
    <w:tbl>
      <w:tblPr>
        <w:tblW w:w="8904" w:type="dxa"/>
        <w:tblInd w:w="55" w:type="dxa"/>
        <w:tblCellMar>
          <w:left w:w="28" w:type="dxa"/>
          <w:right w:w="28" w:type="dxa"/>
        </w:tblCellMar>
        <w:tblLook w:val="04A0" w:firstRow="1" w:lastRow="0" w:firstColumn="1" w:lastColumn="0" w:noHBand="0" w:noVBand="1"/>
      </w:tblPr>
      <w:tblGrid>
        <w:gridCol w:w="2808"/>
        <w:gridCol w:w="2410"/>
        <w:gridCol w:w="992"/>
        <w:gridCol w:w="851"/>
        <w:gridCol w:w="992"/>
        <w:gridCol w:w="851"/>
      </w:tblGrid>
      <w:tr w:rsidR="004A35D2" w:rsidRPr="008707DB" w:rsidTr="008707DB">
        <w:trPr>
          <w:trHeight w:val="1164"/>
        </w:trPr>
        <w:tc>
          <w:tcPr>
            <w:tcW w:w="8904" w:type="dxa"/>
            <w:gridSpan w:val="6"/>
            <w:tcBorders>
              <w:top w:val="single" w:sz="4" w:space="0" w:color="auto"/>
              <w:left w:val="single" w:sz="4" w:space="0" w:color="auto"/>
              <w:bottom w:val="single" w:sz="4" w:space="0" w:color="auto"/>
              <w:right w:val="single" w:sz="4" w:space="0" w:color="auto"/>
            </w:tcBorders>
            <w:shd w:val="clear" w:color="auto" w:fill="auto"/>
            <w:hideMark/>
          </w:tcPr>
          <w:p w:rsidR="004A35D2" w:rsidRPr="008707DB" w:rsidRDefault="004A35D2" w:rsidP="004A35D2">
            <w:pPr>
              <w:rPr>
                <w:bCs/>
                <w:sz w:val="24"/>
                <w:szCs w:val="24"/>
              </w:rPr>
            </w:pPr>
            <w:r w:rsidRPr="008707DB">
              <w:rPr>
                <w:bCs/>
                <w:sz w:val="24"/>
                <w:szCs w:val="24"/>
                <w:lang w:val="es-ES_tradnl"/>
              </w:rPr>
              <w:t xml:space="preserve">COMUNICACIÓN DE FALTAS DE ASISTENCIA A CLASE (faltas no justificadas) </w:t>
            </w:r>
          </w:p>
          <w:p w:rsidR="004A35D2" w:rsidRPr="008707DB" w:rsidRDefault="004A35D2" w:rsidP="004A35D2">
            <w:pPr>
              <w:rPr>
                <w:bCs/>
                <w:sz w:val="24"/>
                <w:szCs w:val="24"/>
                <w:lang w:val="es-ES_tradnl"/>
              </w:rPr>
            </w:pPr>
            <w:r w:rsidRPr="008707DB">
              <w:rPr>
                <w:bCs/>
                <w:sz w:val="24"/>
                <w:szCs w:val="24"/>
                <w:lang w:val="es-ES_tradnl"/>
              </w:rPr>
              <w:t>DEL ALUMNADO DE 2º CURSOCICLOS FORMATIVOS PERDIDA DE EVALUACIÓN CONTINUA</w:t>
            </w:r>
          </w:p>
        </w:tc>
      </w:tr>
      <w:tr w:rsidR="004A35D2" w:rsidRPr="008707DB" w:rsidTr="008707DB">
        <w:trPr>
          <w:trHeight w:val="57"/>
        </w:trPr>
        <w:tc>
          <w:tcPr>
            <w:tcW w:w="2808" w:type="dxa"/>
            <w:tcBorders>
              <w:top w:val="single" w:sz="4" w:space="0" w:color="auto"/>
              <w:left w:val="single" w:sz="4" w:space="0" w:color="auto"/>
              <w:bottom w:val="single" w:sz="4" w:space="0" w:color="auto"/>
              <w:right w:val="single" w:sz="4" w:space="0" w:color="auto"/>
            </w:tcBorders>
            <w:hideMark/>
          </w:tcPr>
          <w:p w:rsidR="004A35D2" w:rsidRPr="008707DB" w:rsidRDefault="004A35D2" w:rsidP="004A35D2">
            <w:pPr>
              <w:rPr>
                <w:bCs/>
                <w:sz w:val="24"/>
                <w:szCs w:val="24"/>
              </w:rPr>
            </w:pPr>
            <w:r w:rsidRPr="008707DB">
              <w:rPr>
                <w:bCs/>
                <w:sz w:val="24"/>
                <w:szCs w:val="24"/>
                <w:lang w:val="es-ES_tradnl"/>
              </w:rPr>
              <w:t>Horas Anuales/Semanales</w:t>
            </w:r>
          </w:p>
        </w:tc>
        <w:tc>
          <w:tcPr>
            <w:tcW w:w="2410" w:type="dxa"/>
            <w:tcBorders>
              <w:top w:val="single" w:sz="4" w:space="0" w:color="auto"/>
              <w:left w:val="single" w:sz="4" w:space="0" w:color="auto"/>
              <w:bottom w:val="single" w:sz="4" w:space="0" w:color="auto"/>
              <w:right w:val="single" w:sz="4" w:space="0" w:color="auto"/>
            </w:tcBorders>
            <w:hideMark/>
          </w:tcPr>
          <w:p w:rsidR="004A35D2" w:rsidRPr="008707DB" w:rsidRDefault="004A35D2" w:rsidP="004A35D2">
            <w:pPr>
              <w:rPr>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170/8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100/5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75/4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65/3</w:t>
            </w:r>
          </w:p>
        </w:tc>
      </w:tr>
      <w:tr w:rsidR="004A35D2" w:rsidRPr="008707DB" w:rsidTr="008707DB">
        <w:trPr>
          <w:trHeight w:val="57"/>
        </w:trPr>
        <w:tc>
          <w:tcPr>
            <w:tcW w:w="2808"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rPr>
            </w:pPr>
            <w:r w:rsidRPr="008707DB">
              <w:rPr>
                <w:bCs/>
                <w:sz w:val="24"/>
                <w:szCs w:val="24"/>
                <w:lang w:val="es-ES_tradnl"/>
              </w:rPr>
              <w:t>1º Apercibimiento</w:t>
            </w:r>
          </w:p>
        </w:tc>
        <w:tc>
          <w:tcPr>
            <w:tcW w:w="2410" w:type="dxa"/>
            <w:tcBorders>
              <w:top w:val="single" w:sz="4" w:space="0" w:color="auto"/>
              <w:left w:val="nil"/>
              <w:bottom w:val="nil"/>
              <w:right w:val="single" w:sz="8" w:space="0" w:color="auto"/>
            </w:tcBorders>
            <w:shd w:val="clear" w:color="auto" w:fill="auto"/>
            <w:hideMark/>
          </w:tcPr>
          <w:p w:rsidR="004A35D2" w:rsidRPr="008707DB" w:rsidRDefault="004A35D2" w:rsidP="004A35D2">
            <w:pPr>
              <w:rPr>
                <w:bCs/>
                <w:sz w:val="24"/>
                <w:szCs w:val="24"/>
              </w:rPr>
            </w:pPr>
            <w:r w:rsidRPr="008707DB">
              <w:rPr>
                <w:bCs/>
                <w:sz w:val="24"/>
                <w:szCs w:val="24"/>
                <w:lang w:val="es-ES_tradnl"/>
              </w:rPr>
              <w:t>Absentismo</w:t>
            </w:r>
            <w:r w:rsidR="008707DB" w:rsidRPr="008707DB">
              <w:rPr>
                <w:bCs/>
                <w:sz w:val="24"/>
                <w:szCs w:val="24"/>
                <w:lang w:val="es-ES_tradnl"/>
              </w:rPr>
              <w:t xml:space="preserve"> 5%</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14</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8</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7</w:t>
            </w:r>
          </w:p>
        </w:tc>
        <w:tc>
          <w:tcPr>
            <w:tcW w:w="85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5</w:t>
            </w:r>
          </w:p>
        </w:tc>
      </w:tr>
      <w:tr w:rsidR="004A35D2" w:rsidRPr="008707DB" w:rsidTr="008707DB">
        <w:trPr>
          <w:trHeight w:val="57"/>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rPr>
            </w:pPr>
          </w:p>
        </w:tc>
        <w:tc>
          <w:tcPr>
            <w:tcW w:w="2410"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rPr>
            </w:pPr>
          </w:p>
        </w:tc>
      </w:tr>
      <w:tr w:rsidR="004A35D2" w:rsidRPr="008707DB" w:rsidTr="008707DB">
        <w:trPr>
          <w:trHeight w:val="57"/>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rPr>
            </w:pPr>
          </w:p>
        </w:tc>
        <w:tc>
          <w:tcPr>
            <w:tcW w:w="2410" w:type="dxa"/>
            <w:tcBorders>
              <w:top w:val="nil"/>
              <w:left w:val="nil"/>
              <w:bottom w:val="single" w:sz="8" w:space="0" w:color="auto"/>
              <w:right w:val="single" w:sz="8" w:space="0" w:color="auto"/>
            </w:tcBorders>
            <w:shd w:val="clear" w:color="auto" w:fill="auto"/>
            <w:hideMark/>
          </w:tcPr>
          <w:p w:rsidR="004A35D2" w:rsidRPr="008707DB" w:rsidRDefault="004A35D2" w:rsidP="004A35D2">
            <w:pPr>
              <w:rPr>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rPr>
            </w:pPr>
          </w:p>
        </w:tc>
      </w:tr>
      <w:tr w:rsidR="004A35D2" w:rsidRPr="008707DB" w:rsidTr="008707DB">
        <w:trPr>
          <w:trHeight w:val="57"/>
        </w:trPr>
        <w:tc>
          <w:tcPr>
            <w:tcW w:w="2808" w:type="dxa"/>
            <w:vMerge w:val="restart"/>
            <w:tcBorders>
              <w:top w:val="nil"/>
              <w:left w:val="single" w:sz="4"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rPr>
            </w:pPr>
            <w:r w:rsidRPr="008707DB">
              <w:rPr>
                <w:bCs/>
                <w:sz w:val="24"/>
                <w:szCs w:val="24"/>
                <w:lang w:val="es-ES_tradnl"/>
              </w:rPr>
              <w:t>2º Apercibimiento</w:t>
            </w:r>
          </w:p>
        </w:tc>
        <w:tc>
          <w:tcPr>
            <w:tcW w:w="2410" w:type="dxa"/>
            <w:tcBorders>
              <w:top w:val="nil"/>
              <w:left w:val="nil"/>
              <w:bottom w:val="nil"/>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Absentismo</w:t>
            </w:r>
            <w:r w:rsidR="008707DB" w:rsidRPr="008707DB">
              <w:rPr>
                <w:bCs/>
                <w:sz w:val="24"/>
                <w:szCs w:val="24"/>
                <w:lang w:val="es-ES_tradnl"/>
              </w:rPr>
              <w:t xml:space="preserve"> 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27</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16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13</w:t>
            </w:r>
          </w:p>
        </w:tc>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9</w:t>
            </w:r>
          </w:p>
        </w:tc>
      </w:tr>
      <w:tr w:rsidR="004A35D2" w:rsidRPr="008707DB" w:rsidTr="008707DB">
        <w:trPr>
          <w:trHeight w:val="57"/>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rPr>
            </w:pPr>
          </w:p>
        </w:tc>
        <w:tc>
          <w:tcPr>
            <w:tcW w:w="2410"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rPr>
            </w:pPr>
          </w:p>
        </w:tc>
      </w:tr>
      <w:tr w:rsidR="004A35D2" w:rsidRPr="008707DB" w:rsidTr="008707DB">
        <w:trPr>
          <w:trHeight w:val="57"/>
        </w:trPr>
        <w:tc>
          <w:tcPr>
            <w:tcW w:w="2808" w:type="dxa"/>
            <w:vMerge/>
            <w:tcBorders>
              <w:top w:val="nil"/>
              <w:left w:val="single" w:sz="4" w:space="0" w:color="auto"/>
              <w:bottom w:val="single" w:sz="8" w:space="0" w:color="000000"/>
              <w:right w:val="single" w:sz="8" w:space="0" w:color="auto"/>
            </w:tcBorders>
            <w:hideMark/>
          </w:tcPr>
          <w:p w:rsidR="004A35D2" w:rsidRPr="008707DB" w:rsidRDefault="004A35D2" w:rsidP="004A35D2">
            <w:pPr>
              <w:rPr>
                <w:bCs/>
                <w:sz w:val="24"/>
                <w:szCs w:val="24"/>
              </w:rPr>
            </w:pPr>
          </w:p>
        </w:tc>
        <w:tc>
          <w:tcPr>
            <w:tcW w:w="2410" w:type="dxa"/>
            <w:tcBorders>
              <w:top w:val="nil"/>
              <w:left w:val="nil"/>
              <w:bottom w:val="single" w:sz="8" w:space="0" w:color="auto"/>
              <w:right w:val="single" w:sz="8" w:space="0" w:color="auto"/>
            </w:tcBorders>
            <w:shd w:val="clear" w:color="auto" w:fill="auto"/>
            <w:hideMark/>
          </w:tcPr>
          <w:p w:rsidR="004A35D2" w:rsidRPr="008707DB" w:rsidRDefault="004A35D2" w:rsidP="004A35D2">
            <w:pPr>
              <w:rPr>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992" w:type="dxa"/>
            <w:vMerge/>
            <w:tcBorders>
              <w:top w:val="nil"/>
              <w:left w:val="single" w:sz="8" w:space="0" w:color="auto"/>
              <w:bottom w:val="single" w:sz="8" w:space="0" w:color="000000"/>
              <w:right w:val="single" w:sz="8" w:space="0" w:color="auto"/>
            </w:tcBorders>
            <w:hideMark/>
          </w:tcPr>
          <w:p w:rsidR="004A35D2" w:rsidRPr="008707DB" w:rsidRDefault="004A35D2" w:rsidP="004A35D2">
            <w:pPr>
              <w:rPr>
                <w:bCs/>
                <w:sz w:val="24"/>
                <w:szCs w:val="24"/>
              </w:rPr>
            </w:pPr>
          </w:p>
        </w:tc>
        <w:tc>
          <w:tcPr>
            <w:tcW w:w="851" w:type="dxa"/>
            <w:vMerge/>
            <w:tcBorders>
              <w:top w:val="nil"/>
              <w:left w:val="single" w:sz="8" w:space="0" w:color="auto"/>
              <w:bottom w:val="single" w:sz="8" w:space="0" w:color="000000"/>
              <w:right w:val="single" w:sz="4" w:space="0" w:color="auto"/>
            </w:tcBorders>
            <w:hideMark/>
          </w:tcPr>
          <w:p w:rsidR="004A35D2" w:rsidRPr="008707DB" w:rsidRDefault="004A35D2" w:rsidP="004A35D2">
            <w:pPr>
              <w:rPr>
                <w:bCs/>
                <w:sz w:val="24"/>
                <w:szCs w:val="24"/>
              </w:rPr>
            </w:pPr>
          </w:p>
        </w:tc>
      </w:tr>
      <w:tr w:rsidR="004A35D2" w:rsidRPr="008707DB" w:rsidTr="008707DB">
        <w:trPr>
          <w:trHeight w:val="57"/>
        </w:trPr>
        <w:tc>
          <w:tcPr>
            <w:tcW w:w="2808" w:type="dxa"/>
            <w:vMerge w:val="restart"/>
            <w:tcBorders>
              <w:top w:val="nil"/>
              <w:left w:val="single" w:sz="4" w:space="0" w:color="auto"/>
              <w:bottom w:val="single" w:sz="8" w:space="0" w:color="000000"/>
              <w:right w:val="single" w:sz="8" w:space="0" w:color="auto"/>
            </w:tcBorders>
            <w:shd w:val="clear" w:color="auto" w:fill="auto"/>
            <w:hideMark/>
          </w:tcPr>
          <w:p w:rsidR="004A35D2" w:rsidRPr="008707DB" w:rsidRDefault="004A35D2" w:rsidP="004A35D2">
            <w:pPr>
              <w:rPr>
                <w:bCs/>
                <w:sz w:val="24"/>
                <w:szCs w:val="24"/>
              </w:rPr>
            </w:pPr>
            <w:r w:rsidRPr="008707DB">
              <w:rPr>
                <w:bCs/>
                <w:sz w:val="24"/>
                <w:szCs w:val="24"/>
                <w:lang w:val="es-ES_tradnl"/>
              </w:rPr>
              <w:t>Perdida de la Evaluación Continua</w:t>
            </w:r>
            <w:r w:rsidRPr="008707DB">
              <w:rPr>
                <w:sz w:val="24"/>
                <w:szCs w:val="24"/>
                <w:lang w:val="es-ES_tradnl"/>
              </w:rPr>
              <w:t xml:space="preserve"> </w:t>
            </w:r>
          </w:p>
        </w:tc>
        <w:tc>
          <w:tcPr>
            <w:tcW w:w="2410" w:type="dxa"/>
            <w:tcBorders>
              <w:top w:val="nil"/>
              <w:left w:val="nil"/>
              <w:bottom w:val="nil"/>
              <w:right w:val="single" w:sz="8" w:space="0" w:color="auto"/>
            </w:tcBorders>
            <w:shd w:val="clear" w:color="auto" w:fill="auto"/>
            <w:hideMark/>
          </w:tcPr>
          <w:p w:rsidR="004A35D2" w:rsidRPr="008707DB" w:rsidRDefault="004A35D2" w:rsidP="004A35D2">
            <w:pPr>
              <w:rPr>
                <w:bCs/>
                <w:sz w:val="24"/>
                <w:szCs w:val="24"/>
              </w:rPr>
            </w:pPr>
            <w:r w:rsidRPr="008707DB">
              <w:rPr>
                <w:bCs/>
                <w:sz w:val="24"/>
                <w:szCs w:val="24"/>
                <w:lang w:val="es-ES_tradnl"/>
              </w:rPr>
              <w:t>Absentismo</w:t>
            </w:r>
            <w:r w:rsidR="008707DB" w:rsidRPr="008707DB">
              <w:rPr>
                <w:bCs/>
                <w:sz w:val="24"/>
                <w:szCs w:val="24"/>
                <w:lang w:val="es-ES_tradnl"/>
              </w:rPr>
              <w:t xml:space="preserve"> 15%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41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23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20</w:t>
            </w:r>
          </w:p>
        </w:tc>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4A35D2" w:rsidRPr="008707DB" w:rsidRDefault="004A35D2" w:rsidP="004A35D2">
            <w:pPr>
              <w:rPr>
                <w:bCs/>
                <w:sz w:val="24"/>
                <w:szCs w:val="24"/>
              </w:rPr>
            </w:pPr>
            <w:r w:rsidRPr="008707DB">
              <w:rPr>
                <w:bCs/>
                <w:sz w:val="24"/>
                <w:szCs w:val="24"/>
                <w:lang w:val="es-ES_tradnl"/>
              </w:rPr>
              <w:t>14</w:t>
            </w:r>
          </w:p>
        </w:tc>
      </w:tr>
      <w:tr w:rsidR="004A35D2" w:rsidRPr="008707DB" w:rsidTr="008707DB">
        <w:trPr>
          <w:trHeight w:val="57"/>
        </w:trPr>
        <w:tc>
          <w:tcPr>
            <w:tcW w:w="2808" w:type="dxa"/>
            <w:vMerge/>
            <w:tcBorders>
              <w:top w:val="nil"/>
              <w:left w:val="single" w:sz="4"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2410" w:type="dxa"/>
            <w:tcBorders>
              <w:top w:val="nil"/>
              <w:left w:val="nil"/>
              <w:bottom w:val="single" w:sz="4" w:space="0" w:color="auto"/>
              <w:right w:val="single" w:sz="8" w:space="0" w:color="auto"/>
            </w:tcBorders>
            <w:shd w:val="clear" w:color="auto" w:fill="auto"/>
            <w:hideMark/>
          </w:tcPr>
          <w:p w:rsidR="004A35D2" w:rsidRPr="008707DB" w:rsidRDefault="004A35D2" w:rsidP="004A35D2">
            <w:pPr>
              <w:rPr>
                <w:b/>
                <w:bCs/>
                <w:sz w:val="24"/>
                <w:szCs w:val="24"/>
              </w:rPr>
            </w:pPr>
          </w:p>
        </w:tc>
        <w:tc>
          <w:tcPr>
            <w:tcW w:w="992" w:type="dxa"/>
            <w:vMerge/>
            <w:tcBorders>
              <w:top w:val="nil"/>
              <w:left w:val="single" w:sz="8"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851" w:type="dxa"/>
            <w:vMerge/>
            <w:tcBorders>
              <w:top w:val="nil"/>
              <w:left w:val="single" w:sz="8"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992" w:type="dxa"/>
            <w:vMerge/>
            <w:tcBorders>
              <w:top w:val="nil"/>
              <w:left w:val="single" w:sz="8" w:space="0" w:color="auto"/>
              <w:bottom w:val="single" w:sz="4" w:space="0" w:color="auto"/>
              <w:right w:val="single" w:sz="8" w:space="0" w:color="auto"/>
            </w:tcBorders>
            <w:hideMark/>
          </w:tcPr>
          <w:p w:rsidR="004A35D2" w:rsidRPr="008707DB" w:rsidRDefault="004A35D2" w:rsidP="004A35D2">
            <w:pPr>
              <w:rPr>
                <w:b/>
                <w:bCs/>
                <w:sz w:val="24"/>
                <w:szCs w:val="24"/>
              </w:rPr>
            </w:pPr>
          </w:p>
        </w:tc>
        <w:tc>
          <w:tcPr>
            <w:tcW w:w="851" w:type="dxa"/>
            <w:vMerge/>
            <w:tcBorders>
              <w:top w:val="nil"/>
              <w:left w:val="single" w:sz="8" w:space="0" w:color="auto"/>
              <w:bottom w:val="single" w:sz="4" w:space="0" w:color="auto"/>
              <w:right w:val="single" w:sz="4" w:space="0" w:color="auto"/>
            </w:tcBorders>
            <w:hideMark/>
          </w:tcPr>
          <w:p w:rsidR="004A35D2" w:rsidRPr="008707DB" w:rsidRDefault="004A35D2" w:rsidP="004A35D2">
            <w:pPr>
              <w:rPr>
                <w:b/>
                <w:bCs/>
                <w:sz w:val="24"/>
                <w:szCs w:val="24"/>
              </w:rPr>
            </w:pPr>
          </w:p>
        </w:tc>
      </w:tr>
    </w:tbl>
    <w:p w:rsidR="004A35D2" w:rsidRPr="008707DB" w:rsidRDefault="004A35D2" w:rsidP="00F4077B">
      <w:pPr>
        <w:rPr>
          <w:sz w:val="24"/>
          <w:szCs w:val="24"/>
        </w:rPr>
      </w:pPr>
    </w:p>
    <w:sectPr w:rsidR="004A35D2" w:rsidRPr="008707DB" w:rsidSect="00F4077B">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0B" w:rsidRDefault="0075110B" w:rsidP="008707DB">
      <w:pPr>
        <w:spacing w:after="0" w:line="240" w:lineRule="auto"/>
      </w:pPr>
      <w:r>
        <w:separator/>
      </w:r>
    </w:p>
  </w:endnote>
  <w:endnote w:type="continuationSeparator" w:id="0">
    <w:p w:rsidR="0075110B" w:rsidRDefault="0075110B" w:rsidP="0087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0B" w:rsidRDefault="0075110B" w:rsidP="008707DB">
      <w:pPr>
        <w:spacing w:after="0" w:line="240" w:lineRule="auto"/>
      </w:pPr>
      <w:r>
        <w:separator/>
      </w:r>
    </w:p>
  </w:footnote>
  <w:footnote w:type="continuationSeparator" w:id="0">
    <w:p w:rsidR="0075110B" w:rsidRDefault="0075110B" w:rsidP="0087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DB" w:rsidRDefault="008707DB">
    <w:pPr>
      <w:pStyle w:val="Encabezado"/>
    </w:pPr>
    <w:r>
      <w:rPr>
        <w:noProof/>
        <w:lang w:eastAsia="es-ES"/>
      </w:rPr>
      <w:drawing>
        <wp:inline distT="0" distB="0" distL="0" distR="0" wp14:anchorId="1681CEF4" wp14:editId="0CED261C">
          <wp:extent cx="114300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D2"/>
    <w:rsid w:val="004A35D2"/>
    <w:rsid w:val="0075110B"/>
    <w:rsid w:val="007A3BA5"/>
    <w:rsid w:val="008707DB"/>
    <w:rsid w:val="00D06179"/>
    <w:rsid w:val="00DE3699"/>
    <w:rsid w:val="00F40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07DB"/>
  </w:style>
  <w:style w:type="paragraph" w:styleId="Piedepgina">
    <w:name w:val="footer"/>
    <w:basedOn w:val="Normal"/>
    <w:link w:val="PiedepginaCar"/>
    <w:uiPriority w:val="99"/>
    <w:unhideWhenUsed/>
    <w:rsid w:val="00870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07DB"/>
  </w:style>
  <w:style w:type="paragraph" w:styleId="Textodeglobo">
    <w:name w:val="Balloon Text"/>
    <w:basedOn w:val="Normal"/>
    <w:link w:val="TextodegloboCar"/>
    <w:uiPriority w:val="99"/>
    <w:semiHidden/>
    <w:unhideWhenUsed/>
    <w:rsid w:val="008707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07DB"/>
  </w:style>
  <w:style w:type="paragraph" w:styleId="Piedepgina">
    <w:name w:val="footer"/>
    <w:basedOn w:val="Normal"/>
    <w:link w:val="PiedepginaCar"/>
    <w:uiPriority w:val="99"/>
    <w:unhideWhenUsed/>
    <w:rsid w:val="00870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07DB"/>
  </w:style>
  <w:style w:type="paragraph" w:styleId="Textodeglobo">
    <w:name w:val="Balloon Text"/>
    <w:basedOn w:val="Normal"/>
    <w:link w:val="TextodegloboCar"/>
    <w:uiPriority w:val="99"/>
    <w:semiHidden/>
    <w:unhideWhenUsed/>
    <w:rsid w:val="008707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Lord Coordinador</cp:lastModifiedBy>
  <cp:revision>3</cp:revision>
  <dcterms:created xsi:type="dcterms:W3CDTF">2020-09-08T09:57:00Z</dcterms:created>
  <dcterms:modified xsi:type="dcterms:W3CDTF">2020-09-08T10:14:00Z</dcterms:modified>
</cp:coreProperties>
</file>